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44C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</w:rPr>
        <w:t>教育部财政部关于实施中国特色</w:t>
      </w:r>
    </w:p>
    <w:p w14:paraId="6111FDE6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</w:rPr>
        <w:t>高水平高职学校和专业建设计划</w:t>
      </w:r>
    </w:p>
    <w:p w14:paraId="5BFE4FC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</w:rPr>
        <w:t>（2025-2029年）的通知</w:t>
      </w:r>
    </w:p>
    <w:p w14:paraId="26AD3E40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22"/>
          <w:sz w:val="36"/>
          <w:szCs w:val="36"/>
        </w:rPr>
      </w:pPr>
    </w:p>
    <w:p w14:paraId="0741C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各省、自治区、直辖市教育厅(教委)、财政厅(局)，新疆生产建设兵团教育局、财政局：</w:t>
      </w:r>
    </w:p>
    <w:p w14:paraId="3422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为深入贯彻教育强国建设规划纲要总体工作部署，教育部、财政部(以下简称两部)决定实施中国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特色高水平高职学校和专业建设计划（2025—2029年）（以下简称第二期“双高计划”）。现就有关事项通知如下。</w:t>
      </w:r>
    </w:p>
    <w:p w14:paraId="3861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一、总体要求</w:t>
      </w:r>
    </w:p>
    <w:p w14:paraId="0DCE4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坚持以习近平新时代中国特色社会主义思想为指导，深入贯彻党的二十大和二十届二中、三中全会精神，全面贯彻全国教育大会精神，落实立德树人根本任务，以办学能力高水平、产教融合高质量为目标，以提升人才培养质量和社会服务能力为关键，深化育人方式、办学模式、管理体制、保障机制改革，加强质量标准和规范探索，开创国际交流合作新格局，推动职业教育与国家战略布局、重点产业需求、地方经济社会发展、促进人的全面发展相结合，培育发展新质生产力、助力高质量发展，为支撑中国式现代化建设贡献力量。</w:t>
      </w:r>
    </w:p>
    <w:p w14:paraId="456D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工作中要做到：坚持需求导向，围绕国家重大战略、重点产业、“一体两翼”、高品质民生、边疆职教、职教出海等领域需求，国家宏观布局、地方统筹建设，在对接需求的基础上支持建设“服务好、支撑好”的专业群，优化职业教育布局体系。坚持产教融合，统筹推进第二期“双高计划”与市域产教联合体、行业产教融合共同体建设，激发各类办学主体活力，深化校企合作办学、合作育人、合作就业、合作发展，增强职业教育适应性。坚持质量为本，以提高人才培养质量为核心，校企共同打造匹配需求的金专业、金课程、金教材、金教师、金基地，引领提升关键办学能力，夯实职业教育新基建。坚持标准引领，构建贯穿项目遴选立项、建设管理和绩效评价全过程的标准框架，围绕专业群思政工作的引领度、社会需求的匹配度、条件基础的支撑度、建设措施目标的可达成度、政策机制的保障度和成果成效的贡献度开展评价，引领职业教育持续改革发展。</w:t>
      </w:r>
    </w:p>
    <w:p w14:paraId="3D8D7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主要目标是：围绕推进中国式现代化和教育强国建设的新要求，集中力量建设60所左右高水平高职学校和160个左右高水平专业群，系统推进专业、课程、教材、教师、实训基地等教学关键要素改革，推动形成一批可复制、可借鉴的改革经验和模式，持续打造中国特色、世界水平的职业教育品牌，大力培养大国工匠、能工巧匠、高技能人才，加快构建服务区域发展、支撑产业发展、推动教育对外开放的职业教育新布局。</w:t>
      </w:r>
    </w:p>
    <w:p w14:paraId="4E0B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二、改革任务</w:t>
      </w:r>
    </w:p>
    <w:p w14:paraId="11D1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（一）落实立德树人根本任务</w:t>
      </w:r>
    </w:p>
    <w:p w14:paraId="1193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坚持不懈用习近平新时代中国特色社会主义思想铸魂育人，健全专业群思政育人体系和德智体美劳全面培养体系，塑造立德树人新格局。创新校企党支部联建机制，发挥“双带头人”示范引领作用，增强基层党组织育人功能。运用新时代伟大变革成功案例，发挥红色资源育人功能，拓展实践育人和网络育人的空间和阵地。完善德技并修、工学结合育人机制，挖掘行业企业思政育人元素，将劳模精神、劳动精神、工匠精神融入专业教育教学。</w:t>
      </w:r>
    </w:p>
    <w:p w14:paraId="3237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（二）创新产教融合机制</w:t>
      </w:r>
    </w:p>
    <w:p w14:paraId="1FE04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发挥市域产教联合体、行业产教融合共同体等产教融合载体的作用，集聚资金、技术、人才、政策要素，推动各类主体深度参与专业群建设改革。创新多方参与的产教融合发展机制，健全议事决策组织机构，政府、行业企业和学校共建人才培养、技术服务、公共服务平台，落实校企双主体育人，服务区域发展，支撑产业发展。</w:t>
      </w:r>
    </w:p>
    <w:p w14:paraId="295A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（三）打造高水平专业群</w:t>
      </w:r>
    </w:p>
    <w:p w14:paraId="73C95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对接产业链关键环节和企业核心岗位，精准定位专业群人才培养目标规格，校企共同制订人才培养方案，优化专业群课程体系、实践教学体系。创新专业群人才培养模式，稳步扩大中高、中本、高本衔接贯通培养规模，服务学生多样化选择和全面发展。探索专业教育和职业培训多形式衔接，培养新质生产力发展急需紧缺的高技能人才。健全专业群运行管理机制和群内专业动态调整机制，快速响应产业变革的最新要求。</w:t>
      </w:r>
    </w:p>
    <w:p w14:paraId="5FCE9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（四）建设一流核心课程</w:t>
      </w:r>
    </w:p>
    <w:p w14:paraId="6813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校企共建课程开发中心，组织企业大师、学校名师、教育专家等，对接企业岗位标准、工序流程、典型项目，绘制能力图谱，更新课程内容、开发新课程。适应新时代学生学习方式和成长规律，改革课程教学模式，创设多样化教学场景，建立新型师生关系，引导学生自主探究、深度学习。创新课业评价方式，加大企业评价权重，注重过程评价和结果评价相结合，持续提升课堂教学质量。</w:t>
      </w:r>
    </w:p>
    <w:p w14:paraId="450C3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（五）开发优质新形态教材</w:t>
      </w:r>
    </w:p>
    <w:p w14:paraId="79EA4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立多方参与的教材开发机制，将最新课程改革成果应用于教材建设。以真实生产项目、典型工作任务、工程实践案例等为载体，开发适用于模块化教学、通俗易懂的“活页式”教材。引入企业操作手册、培训手册、培训包，开发包含工作计划书、质量检测手册、工具书等内容的工作手册式教材。基于专业数字资源，开发生动形象、互动性强的数字教材。健全教材管理制度，落实教材“凡编必审”“凡选必审”，严格执行审核、选用标准和程序。</w:t>
      </w:r>
    </w:p>
    <w:p w14:paraId="3A0FC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（六）建设高水平双师队伍</w:t>
      </w:r>
    </w:p>
    <w:p w14:paraId="148CE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传承发扬教育家精神，引导教师扎根教学一线、躬耕教育实践，自觉加强师德师风建设。创新企业人员聘用机制，设立产业教授特聘岗、技能大师工作室等，吸引大国工匠、能工巧匠、技能大师、技艺传承人兼职兼课。完善教师企业实践制度，建设教师企业实践基地，选派专业教师到合作企业实岗锻炼，参与企业生产运营和技术创新。探索“教师教学档案袋”制度改革，促进教师专业化发展。探索组建产教虚拟教研室，有组织开展校企、校校联动的教研活动，打造高水平结构化教师教学创新团队。</w:t>
      </w:r>
    </w:p>
    <w:p w14:paraId="39F08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（七）建设产教融合实训基地</w:t>
      </w:r>
    </w:p>
    <w:p w14:paraId="4E2EE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整合园区、企业、学校资源，统筹规划校内外实训基地建设，提高实训资源使用效率。校企合作打造场景真实、开放共享的产教融合实践中心，创新运营和成本分担机制，开发和推广典型生产性实训项目。利用5G+、人工智能、大数据等技术，建设数字远程实训平台、虚拟仿真实训基地等。完善学生实习实践制度，运用数字化手段加强实践教学过程管理和质量评价。</w:t>
      </w:r>
    </w:p>
    <w:p w14:paraId="5FC9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（八）构建数字化教学新生态</w:t>
      </w:r>
    </w:p>
    <w:p w14:paraId="5CC9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紧跟产业数字化和数字产业化发展新要求，推动专业群数字化改造和智能化升级。推动人工智能融入专业教学全过程，探索基于生成式人工智能的互动式教学模式。推进智慧校园标准化建设，运用数字技术重塑教学空间，建立学生学习和教师成长数据库。推动学生学业评价、教师教学评价的数字化转型。加强新技术应用培训，提升师生数字素养。</w:t>
      </w:r>
    </w:p>
    <w:p w14:paraId="1185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（九）拓展国际交流与合作</w:t>
      </w:r>
    </w:p>
    <w:p w14:paraId="36AB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坚持教随产出、校企同行，开展海外人员学历教育和技能培训，培养国际化高技能人才和中资企业急需的本土技能人才。紧密服务境外办学需求，开发优质、适用的国际化专业标准、课程标准、教学资源、教学装备。立足区域、因地制宜，规范化运营职业教育国际合作办学品牌项目，探索建设海外工程技术学院，增强中国职业教育的国际影响力。</w:t>
      </w:r>
    </w:p>
    <w:p w14:paraId="4F9B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三、组织实施</w:t>
      </w:r>
    </w:p>
    <w:p w14:paraId="39B66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两部联合制定第二期“双高计划”工作方案和标准框架（见附件1、2），确定各地建设单位名额及布局重点（见附件3），牵头建立多部门协同推进机制，加强对项目建设的政策支持和跟踪指导。各地将项目建设纳入年度工作要点和中长期规划，建立教育、财政和有关部门会商机制，定期调度项目建设，确保建设成效。学校加大与举办方、行业、企业的沟通，多渠道筹措资金，争取政策支持，鼓励专业群改革创新，健全项目管理和资金使用制度，提高资金使用效益。</w:t>
      </w:r>
    </w:p>
    <w:p w14:paraId="15073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央财政通过现代职业教育质量提升计划资金对第二期“双高计划”给予奖补支持，发挥引导作用，每个高水平专业群每年支持1000万元。各地建立健全基于专业大类的差异化生均拨款制度，突出改革和绩效导向，对建设单位给予重点支持。有关部门和行业企业以共建、共培等方式积极参与项目建设。项目建设单位以服务求生存、以贡献求发展，积极筹集社会资源，增强自我造血功能。</w:t>
      </w:r>
    </w:p>
    <w:p w14:paraId="043A6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发挥绩效评价的指挥棒作用，引导高职学校坚定服务导向的办学理念。发挥第三方评价作用，定期跟踪评价。优化信息采集与绩效管理，强化过程评价、探索增值评价、健全综合评价。省级教育行政部门会同财政部门指导学校开展年度绩效自评。两部在学校自评、省级评价的基础上，开展中期和实施期结束后绩效评价。加强不同阶段绩效评价的工作衔接和结果应用，将绩效评价结果作为完善相关政策、调整项目建设单位和中央财政奖补资金的重要依据。</w:t>
      </w:r>
    </w:p>
    <w:p w14:paraId="5871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本通知有效期5年，相关文件与本通知不符的，以本通知为准。</w:t>
      </w:r>
    </w:p>
    <w:p w14:paraId="6F4A9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附件：</w:t>
      </w:r>
    </w:p>
    <w:p w14:paraId="1C5E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1.第二期“双高计划”工作方案</w:t>
      </w:r>
    </w:p>
    <w:p w14:paraId="34B29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2.第二期“双高计划”标准框架</w:t>
      </w:r>
    </w:p>
    <w:p w14:paraId="5A64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3.各地名额及布局重点说明（分送）</w:t>
      </w:r>
    </w:p>
    <w:p w14:paraId="4E8A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42C9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A5E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</w:rPr>
        <w:t>教育部财政部</w:t>
      </w:r>
    </w:p>
    <w:p w14:paraId="086E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</w:rPr>
        <w:t>2025年1月23日</w:t>
      </w:r>
    </w:p>
    <w:p w14:paraId="04AD7F86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67B0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</w:t>
      </w:r>
    </w:p>
    <w:p w14:paraId="43B5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第二期“双高计划”工作方案</w:t>
      </w:r>
    </w:p>
    <w:p w14:paraId="22317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</w:p>
    <w:p w14:paraId="1D5D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一、布局重点</w:t>
      </w:r>
    </w:p>
    <w:p w14:paraId="7611A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（一）服务区域发展布局</w:t>
      </w:r>
    </w:p>
    <w:p w14:paraId="730FC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聚焦京津冀协同发展、长江经济带发展、粤港澳大湾区建设、长三角一体化发展、黄河流域生态保护和高质量发展等国家区域发展战略、主体功能区，布点一批融入区域发展规划、对接重大生产力布局的专业群，促进区域内产教要素合理流动和高效集聚；面向省域现代职业教育体系试点省份和国家市域产教联合体，布点一批创新机制、引领改革的专业群，搭建人才供需信息平台，建设共性技术服务平台，开展校企协同育人。</w:t>
      </w:r>
    </w:p>
    <w:p w14:paraId="0E32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（二）支撑产业发展布局</w:t>
      </w:r>
    </w:p>
    <w:p w14:paraId="2320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服务现代化产业体系建设，围绕先进制造业、现代农业、现代服务业和战略性新兴产业，以国家级产业集群布局、各地万亿级和千亿级支柱产业为重点，布点一批对接产业链关键环节、关键岗位的专业群，支撑改造提升传统产业、培育壮大新兴产业、布局建设未来产业；在产教协同度高、人才需求旺盛的重点行业和重点领域，支持龙头企业和高职学校共建一批适应需求、服务发展的专业群。</w:t>
      </w:r>
    </w:p>
    <w:p w14:paraId="097ED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（三）推动教育对外开放布局</w:t>
      </w:r>
    </w:p>
    <w:p w14:paraId="1354D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以东盟、中亚为先行区，带动非洲及“一带一路”沿线其他国家，加强职业教育交流与合作。在桥头堡省份、开放前沿和国际化办学基础好的地区，布点一批服务边境贸易、能够伴随企业走出去的专业群，持续增强中国职业教育影响力，助力构建新型国际关系</w:t>
      </w:r>
    </w:p>
    <w:p w14:paraId="1FB06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二、遴选标准</w:t>
      </w:r>
    </w:p>
    <w:p w14:paraId="17F1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（一）学校思政工作引领力强</w:t>
      </w:r>
    </w:p>
    <w:p w14:paraId="3977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落实立德树人根本任务，构建“大思政”育人格局，思政队伍数量充足，开足开齐开好思政课，课程思政深度融入专业教学。基层党建与专业建设有效融合，示范性基层党组织建设、思想政治工作引领改革成效显著。</w:t>
      </w:r>
    </w:p>
    <w:p w14:paraId="13BAB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（二）学校专业设置与经济社会需求匹配度高</w:t>
      </w:r>
    </w:p>
    <w:p w14:paraId="02C8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专业群需求分析和可行性研究充分，专业动态调整机制健全，主动服务区域发展、支撑产业发展。人才培养针对性和适应性强，近三年毕业生本地（行业）就业率不低于60%、对口就业率不低于70%。</w:t>
      </w:r>
    </w:p>
    <w:p w14:paraId="19BFC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（三）学校办学条件和产教融合基础好</w:t>
      </w:r>
    </w:p>
    <w:p w14:paraId="3695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学校为独立设置的高等职业学校（含职业本科学校），办学条件基本达标，是省级及以上“双高计划”建设单位。牵头建设市域产教联合体或行业产教融合共同体，建有实质性运行的产教融合平台。</w:t>
      </w:r>
    </w:p>
    <w:p w14:paraId="5996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（四）项目建设措施和建设目标契合度</w:t>
      </w:r>
    </w:p>
    <w:p w14:paraId="46A5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高学校的专业、课程、教材、教师、实训基地等教学关键要素改革成果显著、示范效应明显。专业群建设方案科学合理，改革举措可操作性强，能有效支撑建设目标达成。</w:t>
      </w:r>
    </w:p>
    <w:p w14:paraId="5D847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（五）项目政策支持和经费投入的保障性好</w:t>
      </w:r>
    </w:p>
    <w:p w14:paraId="4664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学校举办方对项目建设的政策和经费支持力度大。行业组织、合作企业积极参与专业建设。学校内控制度健全，办学经费充足，财务管理规范，项目管理制度完善。</w:t>
      </w:r>
    </w:p>
    <w:p w14:paraId="0822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（六）学校对经济社会发展服务贡献显著</w:t>
      </w:r>
    </w:p>
    <w:p w14:paraId="79FB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近三年招生计划完成率不低于90%，毕业生半年后就业率不低于90%。非学历培训人次数不低于全日制在校生数。积极推进“职教出海”，开展留学生培养或海外职业教育培训。</w:t>
      </w:r>
    </w:p>
    <w:p w14:paraId="2156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校出现以下行为退出项目申报建设。一是近五年在思想政治工作、师德师风上出现重大问题；二是近五年出现重大违规办学行为、重大安全责任事故；三是学校已列入本省普通本科高校设置规划；四是第二期“双高计划”中期绩效评价结论为“差”。</w:t>
      </w:r>
    </w:p>
    <w:p w14:paraId="69BB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三、工作要求</w:t>
      </w:r>
    </w:p>
    <w:p w14:paraId="4720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（一）项目立项阶段</w:t>
      </w:r>
    </w:p>
    <w:p w14:paraId="6F7F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1.两部分配名额。两部以国家区域战略、重点产业布局、各地高职教育发展规模及改革成效等为主要依据，测算确定各地名额及布局重点。</w:t>
      </w:r>
    </w:p>
    <w:p w14:paraId="53446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学校自主申报。满足遴选标准的学校，可自主选择2个专业群，研制专业群需求分析和可行性研究报告，编制专业群建设方案，登录全国高等职业学校人才培养工作状态数据采集与管理平台，通过“双高计划”项目专栏填写申报材料，并按省级教育行政部门的要求按时提交。举办方是国家部委的学校，须征得相关部委同意并明确支持政策和项目经费投入后，推荐至学校所在省份教育行政部门。</w:t>
      </w:r>
    </w:p>
    <w:p w14:paraId="7235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省级遴选推荐。省级教育行政部门会同财政部门制定工作方案，在审核学校申报资格的基础上，按照两部确定的本省名额及布局重点组织遴选、等额推荐，按序确定拟推荐建设单位名单，明确本省支持政策和经费投入，对学校专业群建设经费预算进行审核，于2025年3月3日前通过“双高计划”项目专栏向两部提交推荐函及有关材料，并将省级推荐函（包括推荐学校顺序名单、材料真实性审查情况等）和学校申报材料纸质版（各学校5份）一并报送至教育部职业教育与成人教育司。</w:t>
      </w:r>
    </w:p>
    <w:p w14:paraId="2C869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4.两部复核确定。2025年3月底前，两部复核确定并公布立项建设单位名单。高水平学校建设单位支持建设2个专业群，高水平专业群建设单位支持建设1个专业群。</w:t>
      </w:r>
    </w:p>
    <w:p w14:paraId="718E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（二）项目过程管理</w:t>
      </w:r>
    </w:p>
    <w:p w14:paraId="44EE0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1.建设方案论证备案。2025年4月底前，两部组织专家论证专业群建设方案，论证通过的两部备案，并作为开展项目绩效评价的主要依据。</w:t>
      </w:r>
    </w:p>
    <w:p w14:paraId="7135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2.年度绩效评价。建设期间，各建设单位每年在“双高计划”项目专栏如实填报上年度建设进展情况，省级教育行政部门会同财政部门指导建设单位开展年度绩效自评。</w:t>
      </w:r>
    </w:p>
    <w:p w14:paraId="71C83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3.中期绩效评价。2027年，两部组织实施中期绩效评价，督促各地对建设单位逐一指导评价，优化调整建设目标和建设任务，提高建设实效。</w:t>
      </w:r>
    </w:p>
    <w:p w14:paraId="348C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（三）项目验收评价</w:t>
      </w:r>
    </w:p>
    <w:p w14:paraId="4A47F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2029年底，两部组织实施期结束后绩效评价工作，重点评价各建设单位任务完成情况及在服务区域发展、支撑产业发展、推动教育对外开放和教学关键要素改革等方面的支撑力和贡献力。评价结论分为“优”“良”“中”“差”四类，结论为“中”“差”的限期整改，结论为“差”的建设单位不得进入下一期“双高计划”遴选。</w:t>
      </w:r>
    </w:p>
    <w:p w14:paraId="1FA7B45E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1470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320040</wp:posOffset>
            </wp:positionV>
            <wp:extent cx="6116955" cy="8535670"/>
            <wp:effectExtent l="0" t="0" r="9525" b="13970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1906" b="63670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8535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C4C8A7D">
      <w:pPr>
        <w:jc w:val="center"/>
        <w:rPr>
          <w:rFonts w:ascii="宋体" w:hAnsi="宋体" w:eastAsia="宋体" w:cs="宋体"/>
          <w:sz w:val="24"/>
          <w:szCs w:val="24"/>
        </w:rPr>
      </w:pPr>
    </w:p>
    <w:p w14:paraId="6BB44408">
      <w:pPr>
        <w:jc w:val="both"/>
        <w:rPr>
          <w:rFonts w:ascii="宋体" w:hAnsi="宋体" w:eastAsia="宋体" w:cs="宋体"/>
          <w:sz w:val="24"/>
          <w:szCs w:val="24"/>
        </w:rPr>
      </w:pPr>
    </w:p>
    <w:p w14:paraId="337A1729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EFBB77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883556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0771A1C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715D240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7EE1FEC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7ED0BB1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496CED3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24C80DF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2C01A42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496D77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4D6B252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4AE6CED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0C8F9F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0730C1A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C578D0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2493860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01693D4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D13B52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32361AB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79D7FA8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17145</wp:posOffset>
            </wp:positionV>
            <wp:extent cx="5730875" cy="8860790"/>
            <wp:effectExtent l="0" t="0" r="14605" b="889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35979" b="26035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860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21F6BB6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1964AF1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67BC801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3274755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7E9C312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00C4477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DA37EE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499BA89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40C9C5E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4466EF4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10ADEA9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302510B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B12759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0484785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3107D13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0C6BA41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564E017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062E7FF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626C88B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26084D4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61BED2C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</w:p>
    <w:p w14:paraId="702261F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22"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57150</wp:posOffset>
            </wp:positionV>
            <wp:extent cx="5789930" cy="8436610"/>
            <wp:effectExtent l="0" t="0" r="1270" b="6350"/>
            <wp:wrapTight wrapText="bothSides">
              <wp:wrapPolygon>
                <wp:start x="0" y="0"/>
                <wp:lineTo x="0" y="21577"/>
                <wp:lineTo x="21548" y="21577"/>
                <wp:lineTo x="21548" y="0"/>
                <wp:lineTo x="0" y="0"/>
              </wp:wrapPolygon>
            </wp:wrapTight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73721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8436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466" w:bottom="1318" w:left="14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E79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0A50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0A50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C3A08"/>
    <w:rsid w:val="403B0D9C"/>
    <w:rsid w:val="4F656E69"/>
    <w:rsid w:val="6A304438"/>
    <w:rsid w:val="74F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ebp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5482</Words>
  <Characters>5541</Characters>
  <Lines>0</Lines>
  <Paragraphs>0</Paragraphs>
  <TotalTime>21</TotalTime>
  <ScaleCrop>false</ScaleCrop>
  <LinksUpToDate>false</LinksUpToDate>
  <CharactersWithSpaces>5582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2024-12-17T08:39:00Z</dcterms:created>
  <dc:creator>asus</dc:creator>
  <cp:lastModifiedBy>闪亮红旗</cp:lastModifiedBy>
  <cp:lastPrinted>2025-03-06T09:27:00Z</cp:lastPrinted>
  <dcterms:modified xsi:type="dcterms:W3CDTF">2025-03-07T00:19:12Z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5B21F05322394004928F1A2EB09883C9_12</vt:lpwstr>
  </property>
  <property fmtid="{D5CDD505-2E9C-101B-9397-08002B2CF9AE}" pid="4" name="KSOTemplateDocerSaveRecord">
    <vt:lpwstr>eyJoZGlkIjoiMWNiYjdlYzRkMDkxNzRhZDdmMDY2YTY5N2NkNDk3ZGIiLCJ1c2VySWQiOiIzMzc2NjU5NjIifQ==</vt:lpwstr>
  </property>
</Properties>
</file>